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73" w:rsidRPr="00DB11D3" w:rsidRDefault="00B86A73" w:rsidP="00B86A73">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sidRPr="00DB11D3">
        <w:rPr>
          <w:rFonts w:ascii="Arial" w:eastAsia="Times New Roman" w:hAnsi="Arial" w:cs="Arial"/>
          <w:b/>
          <w:bCs/>
          <w:color w:val="595959" w:themeColor="text1" w:themeTint="A6"/>
          <w:kern w:val="36"/>
          <w:sz w:val="36"/>
          <w:szCs w:val="36"/>
          <w:lang w:eastAsia="ru-RU"/>
        </w:rPr>
        <w:t>Как</w:t>
      </w:r>
      <w:r w:rsidR="00D159AF" w:rsidRPr="00DB11D3">
        <w:rPr>
          <w:rFonts w:ascii="Arial" w:eastAsia="Times New Roman" w:hAnsi="Arial" w:cs="Arial"/>
          <w:b/>
          <w:bCs/>
          <w:color w:val="595959" w:themeColor="text1" w:themeTint="A6"/>
          <w:kern w:val="36"/>
          <w:sz w:val="36"/>
          <w:szCs w:val="36"/>
          <w:lang w:eastAsia="ru-RU"/>
        </w:rPr>
        <w:t>ой</w:t>
      </w:r>
      <w:r w:rsidRPr="00DB11D3">
        <w:rPr>
          <w:rFonts w:ascii="Arial" w:eastAsia="Times New Roman" w:hAnsi="Arial" w:cs="Arial"/>
          <w:b/>
          <w:bCs/>
          <w:color w:val="595959" w:themeColor="text1" w:themeTint="A6"/>
          <w:kern w:val="36"/>
          <w:sz w:val="36"/>
          <w:szCs w:val="36"/>
          <w:lang w:eastAsia="ru-RU"/>
        </w:rPr>
        <w:t xml:space="preserve"> выбрать вариант пенсионного обеспечения: с накопительной пенсией или без</w:t>
      </w:r>
      <w:r w:rsidR="00DB11D3">
        <w:rPr>
          <w:rFonts w:ascii="Arial" w:eastAsia="Times New Roman" w:hAnsi="Arial" w:cs="Arial"/>
          <w:b/>
          <w:bCs/>
          <w:color w:val="595959" w:themeColor="text1" w:themeTint="A6"/>
          <w:kern w:val="36"/>
          <w:sz w:val="36"/>
          <w:szCs w:val="36"/>
          <w:lang w:eastAsia="ru-RU"/>
        </w:rPr>
        <w:t>?</w:t>
      </w:r>
    </w:p>
    <w:p w:rsidR="00120DEE" w:rsidRPr="00DB11D3" w:rsidRDefault="00120DEE" w:rsidP="00120DEE">
      <w:pPr>
        <w:spacing w:after="0" w:line="240" w:lineRule="auto"/>
        <w:rPr>
          <w:rFonts w:ascii="Arial" w:eastAsia="Times New Roman" w:hAnsi="Arial" w:cs="Arial"/>
          <w:b/>
          <w:color w:val="595959" w:themeColor="text1" w:themeTint="A6"/>
          <w:sz w:val="28"/>
          <w:szCs w:val="28"/>
          <w:lang w:eastAsia="ru-RU"/>
        </w:rPr>
      </w:pPr>
      <w:r w:rsidRPr="00DB11D3">
        <w:rPr>
          <w:rFonts w:ascii="Arial" w:eastAsia="Times New Roman" w:hAnsi="Arial" w:cs="Arial"/>
          <w:b/>
          <w:color w:val="595959" w:themeColor="text1" w:themeTint="A6"/>
          <w:sz w:val="28"/>
          <w:szCs w:val="28"/>
          <w:lang w:eastAsia="ru-RU"/>
        </w:rPr>
        <w:t>Пресс-релиз</w:t>
      </w:r>
    </w:p>
    <w:p w:rsidR="00120DEE" w:rsidRPr="00DB11D3" w:rsidRDefault="00120DEE" w:rsidP="00120DEE">
      <w:pPr>
        <w:spacing w:after="0" w:line="240" w:lineRule="auto"/>
        <w:rPr>
          <w:rFonts w:ascii="Arial" w:eastAsia="Times New Roman" w:hAnsi="Arial" w:cs="Arial"/>
          <w:b/>
          <w:color w:val="595959" w:themeColor="text1" w:themeTint="A6"/>
          <w:sz w:val="28"/>
          <w:szCs w:val="28"/>
          <w:lang w:eastAsia="ru-RU"/>
        </w:rPr>
      </w:pPr>
      <w:r w:rsidRPr="00DB11D3">
        <w:rPr>
          <w:rFonts w:ascii="Arial" w:eastAsia="Times New Roman" w:hAnsi="Arial" w:cs="Arial"/>
          <w:b/>
          <w:color w:val="595959" w:themeColor="text1" w:themeTint="A6"/>
          <w:sz w:val="28"/>
          <w:szCs w:val="28"/>
          <w:lang w:eastAsia="ru-RU"/>
        </w:rPr>
        <w:t>2</w:t>
      </w:r>
      <w:r w:rsidR="00F94672">
        <w:rPr>
          <w:rFonts w:ascii="Arial" w:eastAsia="Times New Roman" w:hAnsi="Arial" w:cs="Arial"/>
          <w:b/>
          <w:color w:val="595959" w:themeColor="text1" w:themeTint="A6"/>
          <w:sz w:val="28"/>
          <w:szCs w:val="28"/>
          <w:lang w:eastAsia="ru-RU"/>
        </w:rPr>
        <w:t>8</w:t>
      </w:r>
      <w:r w:rsidRPr="00DB11D3">
        <w:rPr>
          <w:rFonts w:ascii="Arial" w:eastAsia="Times New Roman" w:hAnsi="Arial" w:cs="Arial"/>
          <w:b/>
          <w:color w:val="595959" w:themeColor="text1" w:themeTint="A6"/>
          <w:sz w:val="28"/>
          <w:szCs w:val="28"/>
          <w:lang w:eastAsia="ru-RU"/>
        </w:rPr>
        <w:t>.0</w:t>
      </w:r>
      <w:r w:rsidR="002F5B48" w:rsidRPr="00DB11D3">
        <w:rPr>
          <w:rFonts w:ascii="Arial" w:eastAsia="Times New Roman" w:hAnsi="Arial" w:cs="Arial"/>
          <w:b/>
          <w:color w:val="595959" w:themeColor="text1" w:themeTint="A6"/>
          <w:sz w:val="28"/>
          <w:szCs w:val="28"/>
          <w:lang w:eastAsia="ru-RU"/>
        </w:rPr>
        <w:t>8</w:t>
      </w:r>
      <w:r w:rsidRPr="00DB11D3">
        <w:rPr>
          <w:rFonts w:ascii="Arial" w:eastAsia="Times New Roman" w:hAnsi="Arial" w:cs="Arial"/>
          <w:b/>
          <w:color w:val="595959" w:themeColor="text1" w:themeTint="A6"/>
          <w:sz w:val="28"/>
          <w:szCs w:val="28"/>
          <w:lang w:eastAsia="ru-RU"/>
        </w:rPr>
        <w:t>.2017 г.</w:t>
      </w:r>
    </w:p>
    <w:p w:rsidR="00120DEE" w:rsidRPr="00DB11D3" w:rsidRDefault="00120DEE" w:rsidP="00120DEE">
      <w:pPr>
        <w:spacing w:after="0" w:line="240" w:lineRule="auto"/>
        <w:rPr>
          <w:rFonts w:ascii="Arial" w:eastAsia="Times New Roman" w:hAnsi="Arial" w:cs="Arial"/>
          <w:b/>
          <w:color w:val="595959" w:themeColor="text1" w:themeTint="A6"/>
          <w:sz w:val="28"/>
          <w:szCs w:val="28"/>
          <w:lang w:eastAsia="ru-RU"/>
        </w:rPr>
      </w:pPr>
      <w:r w:rsidRPr="00DB11D3">
        <w:rPr>
          <w:rFonts w:ascii="Arial" w:eastAsia="Times New Roman" w:hAnsi="Arial" w:cs="Arial"/>
          <w:b/>
          <w:color w:val="595959" w:themeColor="text1" w:themeTint="A6"/>
          <w:sz w:val="28"/>
          <w:szCs w:val="28"/>
          <w:lang w:eastAsia="ru-RU"/>
        </w:rPr>
        <w:t>Нальчик. КБР.</w:t>
      </w:r>
    </w:p>
    <w:p w:rsidR="00B86A73" w:rsidRPr="00DB11D3" w:rsidRDefault="002F5B48" w:rsidP="002F5B48">
      <w:pPr>
        <w:tabs>
          <w:tab w:val="left" w:pos="2145"/>
        </w:tabs>
        <w:spacing w:after="75" w:line="360" w:lineRule="auto"/>
        <w:jc w:val="both"/>
        <w:textAlignment w:val="baseline"/>
        <w:rPr>
          <w:rFonts w:ascii="Arial" w:eastAsia="Times New Roman" w:hAnsi="Arial" w:cs="Arial"/>
          <w:b/>
          <w:color w:val="595959" w:themeColor="text1" w:themeTint="A6"/>
          <w:sz w:val="24"/>
          <w:szCs w:val="24"/>
          <w:lang w:eastAsia="ru-RU"/>
        </w:rPr>
      </w:pPr>
      <w:r w:rsidRPr="00DB11D3">
        <w:rPr>
          <w:rFonts w:ascii="inherit" w:eastAsia="Times New Roman" w:hAnsi="inherit" w:cs="Arial"/>
          <w:color w:val="595959" w:themeColor="text1" w:themeTint="A6"/>
          <w:lang w:eastAsia="ru-RU"/>
        </w:rPr>
        <w:tab/>
      </w:r>
      <w:bookmarkStart w:id="0" w:name="_GoBack"/>
      <w:bookmarkEnd w:id="0"/>
      <w:r w:rsidR="00B86A73" w:rsidRPr="00DB11D3">
        <w:rPr>
          <w:rFonts w:ascii="inherit" w:eastAsia="Times New Roman" w:hAnsi="inherit" w:cs="Arial"/>
          <w:color w:val="595959" w:themeColor="text1" w:themeTint="A6"/>
          <w:lang w:eastAsia="ru-RU"/>
        </w:rPr>
        <w:br/>
      </w:r>
      <w:r w:rsidR="00B86A73" w:rsidRPr="00DB11D3">
        <w:rPr>
          <w:rFonts w:ascii="Arial" w:eastAsia="Times New Roman" w:hAnsi="Arial" w:cs="Arial"/>
          <w:b/>
          <w:color w:val="595959" w:themeColor="text1" w:themeTint="A6"/>
          <w:sz w:val="24"/>
          <w:szCs w:val="24"/>
          <w:lang w:eastAsia="ru-RU"/>
        </w:rPr>
        <w:t>В 2014 и 2015 годах каждый гражданин 1967 года рождения и моложе имел возможность выбрать для себя вариант пенсионного обеспечения: направить всю сумму страховых взносов работодателя на финансирование только страховой пенсии или распределить эту сумму на финансирование накопительной и страховой пенсий.</w:t>
      </w:r>
    </w:p>
    <w:p w:rsidR="00B86A73" w:rsidRPr="00DB11D3" w:rsidRDefault="00B86A73" w:rsidP="00B86A73">
      <w:pPr>
        <w:spacing w:after="24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color w:val="595959" w:themeColor="text1" w:themeTint="A6"/>
          <w:sz w:val="24"/>
          <w:szCs w:val="24"/>
          <w:lang w:eastAsia="ru-RU"/>
        </w:rPr>
        <w:t>Граждане 1967 года рождения и моложе, сделавшие до 31 декабря 2015 года выбор в пользу формирования страховой и накопительной пенсии в системе ОПС, могут в любой момент отказаться от формирования накопительной пенсии и направить 6% страховых взносов на формирование только страховой пенсии.</w:t>
      </w:r>
    </w:p>
    <w:p w:rsidR="00B86A73" w:rsidRPr="00DB11D3" w:rsidRDefault="00B86A73" w:rsidP="00B86A73">
      <w:pPr>
        <w:spacing w:after="24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color w:val="595959" w:themeColor="text1" w:themeTint="A6"/>
          <w:sz w:val="24"/>
          <w:szCs w:val="24"/>
          <w:lang w:eastAsia="ru-RU"/>
        </w:rPr>
        <w:t>Право сделать выбор в пользу дальнейшего формирования пенсионных накоплений сохраняется у граждан 1967 года рождения и моложе, за которых страховые взносы на обязательное пенсионное страхование впервые начали начисляться с 1 января 2014 года. Такое право у них сохраняется до 31 декабря года, в котором истекает пятилетний период с момента первого начисления страховых взносов. Если указанные лица по истечении пятилетнего периода с момента первого начисления взносов не достигли 23 лет, указанный период продлевается до 31 декабря того года, в котором им исполнится 23 года (включительно).</w:t>
      </w:r>
    </w:p>
    <w:p w:rsidR="00B86A73" w:rsidRPr="00DB11D3" w:rsidRDefault="00B86A73" w:rsidP="00B86A73">
      <w:pPr>
        <w:spacing w:after="24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color w:val="595959" w:themeColor="text1" w:themeTint="A6"/>
          <w:sz w:val="24"/>
          <w:szCs w:val="24"/>
          <w:lang w:eastAsia="ru-RU"/>
        </w:rPr>
        <w:t>При выборе варианта пенсионного обеспечения следует учитывать, что страховая пенсия гарантированно увеличивается государством за счет ежегодной индексации. Средства же накопительной пенсии инвестирует на финансовом рынке выбранный гражданином НПФ или УК. Доходность пенсионных накоплений зависит от результатов их инвестирования, то есть может быть и убыток от их инвестирования. В этом случае к выплате гарантируется лишь сумма уплаченных страховых взносов. Пенсионные накопления не индексируются.</w:t>
      </w:r>
      <w:r w:rsidRPr="00DB11D3">
        <w:rPr>
          <w:rFonts w:ascii="Arial" w:eastAsia="Times New Roman" w:hAnsi="Arial" w:cs="Arial"/>
          <w:color w:val="595959" w:themeColor="text1" w:themeTint="A6"/>
          <w:sz w:val="24"/>
          <w:szCs w:val="24"/>
          <w:lang w:eastAsia="ru-RU"/>
        </w:rPr>
        <w:br/>
      </w:r>
      <w:r w:rsidRPr="00DB11D3">
        <w:rPr>
          <w:rFonts w:ascii="Arial" w:eastAsia="Times New Roman" w:hAnsi="Arial" w:cs="Arial"/>
          <w:color w:val="595959" w:themeColor="text1" w:themeTint="A6"/>
          <w:sz w:val="24"/>
          <w:szCs w:val="24"/>
          <w:lang w:eastAsia="ru-RU"/>
        </w:rPr>
        <w:br/>
        <w:t xml:space="preserve">Вариант пенсионного обеспечения в системе обязательного пенсионного страхования влияет на начисление годовых пенсионных баллов. При формировании только страховой пенсии максимальное количество годовых пенсионных баллов 10, так как все страховые взносы направляются на формирование страховой пенсии. При выборе формирования и страховой, и накопительной пенсии максимальное количество годовых пенсионных баллов </w:t>
      </w:r>
      <w:r w:rsidRPr="00DB11D3">
        <w:rPr>
          <w:rFonts w:ascii="Arial" w:eastAsia="Times New Roman" w:hAnsi="Arial" w:cs="Arial"/>
          <w:color w:val="595959" w:themeColor="text1" w:themeTint="A6"/>
          <w:sz w:val="24"/>
          <w:szCs w:val="24"/>
          <w:lang w:eastAsia="ru-RU"/>
        </w:rPr>
        <w:lastRenderedPageBreak/>
        <w:t>6,25, так как 27,5% страховых взносов направляются на формирование пенсионных накоплений.</w:t>
      </w:r>
    </w:p>
    <w:p w:rsidR="00B86A73" w:rsidRPr="00DB11D3" w:rsidRDefault="00B86A73" w:rsidP="00B86A73">
      <w:pPr>
        <w:spacing w:after="24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color w:val="595959" w:themeColor="text1" w:themeTint="A6"/>
          <w:sz w:val="24"/>
          <w:szCs w:val="24"/>
          <w:lang w:eastAsia="ru-RU"/>
        </w:rPr>
        <w:t xml:space="preserve">Важно отметить, что даже  в случае отказа от формирования накопительной пенсии все ранее сформированные пенсионные накопления граждан сохраняются: они продолжают инвестироваться и будут выплачены в полном объеме, когда граждане получат право выйти на </w:t>
      </w:r>
      <w:proofErr w:type="gramStart"/>
      <w:r w:rsidRPr="00DB11D3">
        <w:rPr>
          <w:rFonts w:ascii="Arial" w:eastAsia="Times New Roman" w:hAnsi="Arial" w:cs="Arial"/>
          <w:color w:val="595959" w:themeColor="text1" w:themeTint="A6"/>
          <w:sz w:val="24"/>
          <w:szCs w:val="24"/>
          <w:lang w:eastAsia="ru-RU"/>
        </w:rPr>
        <w:t>пенсию</w:t>
      </w:r>
      <w:proofErr w:type="gramEnd"/>
      <w:r w:rsidRPr="00DB11D3">
        <w:rPr>
          <w:rFonts w:ascii="Arial" w:eastAsia="Times New Roman" w:hAnsi="Arial" w:cs="Arial"/>
          <w:color w:val="595959" w:themeColor="text1" w:themeTint="A6"/>
          <w:sz w:val="24"/>
          <w:szCs w:val="24"/>
          <w:lang w:eastAsia="ru-RU"/>
        </w:rPr>
        <w:t xml:space="preserve"> и обратятся за ее назначением. Кроме того, застрахованные лица по-прежнему вправе распоряжаться своими пенсионными накоплениями и выбирать, кому доверить управление ими.</w:t>
      </w:r>
    </w:p>
    <w:p w:rsidR="00B86A73" w:rsidRPr="00DB11D3" w:rsidRDefault="00F94672" w:rsidP="00B86A73">
      <w:pPr>
        <w:spacing w:after="0" w:line="360" w:lineRule="auto"/>
        <w:jc w:val="both"/>
        <w:textAlignment w:val="baseline"/>
        <w:outlineLvl w:val="2"/>
        <w:rPr>
          <w:rFonts w:ascii="Arial" w:eastAsia="Times New Roman" w:hAnsi="Arial" w:cs="Arial"/>
          <w:b/>
          <w:bCs/>
          <w:color w:val="595959" w:themeColor="text1" w:themeTint="A6"/>
          <w:sz w:val="24"/>
          <w:szCs w:val="24"/>
          <w:lang w:eastAsia="ru-RU"/>
        </w:rPr>
      </w:pPr>
      <w:hyperlink r:id="rId6" w:history="1">
        <w:r w:rsidR="00B86A73" w:rsidRPr="00DB11D3">
          <w:rPr>
            <w:rFonts w:ascii="Arial" w:eastAsia="Times New Roman" w:hAnsi="Arial" w:cs="Arial"/>
            <w:b/>
            <w:bCs/>
            <w:color w:val="595959" w:themeColor="text1" w:themeTint="A6"/>
            <w:sz w:val="24"/>
            <w:szCs w:val="24"/>
            <w:u w:val="single"/>
            <w:bdr w:val="none" w:sz="0" w:space="0" w:color="auto" w:frame="1"/>
            <w:lang w:eastAsia="ru-RU"/>
          </w:rPr>
          <w:t>Как отказаться от дальнейшего формирования накопительной пенсии</w:t>
        </w:r>
      </w:hyperlink>
    </w:p>
    <w:p w:rsidR="00B86A73" w:rsidRPr="00DB11D3" w:rsidRDefault="00B86A73" w:rsidP="00B86A73">
      <w:pPr>
        <w:spacing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color w:val="595959" w:themeColor="text1" w:themeTint="A6"/>
          <w:sz w:val="24"/>
          <w:szCs w:val="24"/>
          <w:lang w:eastAsia="ru-RU"/>
        </w:rPr>
        <w:t>При отказе от формирования накопительной пенсии тариф страховых взносов, который работодатель уплачивает из фонда оплаты труда работника, распределяется таким образом:</w:t>
      </w:r>
    </w:p>
    <w:tbl>
      <w:tblPr>
        <w:tblW w:w="10516" w:type="dxa"/>
        <w:shd w:val="clear" w:color="auto" w:fill="FFFFFF"/>
        <w:tblCellMar>
          <w:left w:w="0" w:type="dxa"/>
          <w:right w:w="0" w:type="dxa"/>
        </w:tblCellMar>
        <w:tblLook w:val="04A0" w:firstRow="1" w:lastRow="0" w:firstColumn="1" w:lastColumn="0" w:noHBand="0" w:noVBand="1"/>
      </w:tblPr>
      <w:tblGrid>
        <w:gridCol w:w="2862"/>
        <w:gridCol w:w="1134"/>
        <w:gridCol w:w="6520"/>
      </w:tblGrid>
      <w:tr w:rsidR="00DB11D3" w:rsidRPr="00DB11D3" w:rsidTr="00B86A73">
        <w:tc>
          <w:tcPr>
            <w:tcW w:w="2862"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B86A73" w:rsidRPr="00DB11D3" w:rsidRDefault="00B86A73" w:rsidP="00B86A73">
            <w:pPr>
              <w:spacing w:after="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b/>
                <w:bCs/>
                <w:color w:val="595959" w:themeColor="text1" w:themeTint="A6"/>
                <w:sz w:val="24"/>
                <w:szCs w:val="24"/>
                <w:bdr w:val="none" w:sz="0" w:space="0" w:color="auto" w:frame="1"/>
                <w:lang w:eastAsia="ru-RU"/>
              </w:rPr>
              <w:t>Тариф страховых взносов </w:t>
            </w:r>
            <w:r w:rsidRPr="00DB11D3">
              <w:rPr>
                <w:rFonts w:ascii="Arial" w:eastAsia="Times New Roman" w:hAnsi="Arial" w:cs="Arial"/>
                <w:b/>
                <w:bCs/>
                <w:color w:val="595959" w:themeColor="text1" w:themeTint="A6"/>
                <w:sz w:val="24"/>
                <w:szCs w:val="24"/>
                <w:bdr w:val="none" w:sz="0" w:space="0" w:color="auto" w:frame="1"/>
                <w:lang w:eastAsia="ru-RU"/>
              </w:rPr>
              <w:br/>
              <w:t>работодателя на вашу </w:t>
            </w:r>
            <w:r w:rsidRPr="00DB11D3">
              <w:rPr>
                <w:rFonts w:ascii="Arial" w:eastAsia="Times New Roman" w:hAnsi="Arial" w:cs="Arial"/>
                <w:b/>
                <w:bCs/>
                <w:color w:val="595959" w:themeColor="text1" w:themeTint="A6"/>
                <w:sz w:val="24"/>
                <w:szCs w:val="24"/>
                <w:bdr w:val="none" w:sz="0" w:space="0" w:color="auto" w:frame="1"/>
                <w:lang w:eastAsia="ru-RU"/>
              </w:rPr>
              <w:br/>
              <w:t>будущую пенсию</w:t>
            </w:r>
          </w:p>
        </w:tc>
        <w:tc>
          <w:tcPr>
            <w:tcW w:w="1134"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B86A73" w:rsidRPr="00DB11D3" w:rsidRDefault="00B86A73" w:rsidP="00B86A73">
            <w:pPr>
              <w:spacing w:after="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b/>
                <w:bCs/>
                <w:color w:val="595959" w:themeColor="text1" w:themeTint="A6"/>
                <w:sz w:val="24"/>
                <w:szCs w:val="24"/>
                <w:bdr w:val="none" w:sz="0" w:space="0" w:color="auto" w:frame="1"/>
                <w:lang w:eastAsia="ru-RU"/>
              </w:rPr>
              <w:t>22%</w:t>
            </w:r>
          </w:p>
        </w:tc>
        <w:tc>
          <w:tcPr>
            <w:tcW w:w="6520"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B86A73" w:rsidRPr="00DB11D3" w:rsidRDefault="00B86A73" w:rsidP="00B86A73">
            <w:pPr>
              <w:spacing w:after="24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color w:val="595959" w:themeColor="text1" w:themeTint="A6"/>
                <w:sz w:val="24"/>
                <w:szCs w:val="24"/>
                <w:lang w:eastAsia="ru-RU"/>
              </w:rPr>
              <w:t>16% на страховую пенсию</w:t>
            </w:r>
            <w:r w:rsidRPr="00DB11D3">
              <w:rPr>
                <w:rFonts w:ascii="Arial" w:eastAsia="Times New Roman" w:hAnsi="Arial" w:cs="Arial"/>
                <w:color w:val="595959" w:themeColor="text1" w:themeTint="A6"/>
                <w:sz w:val="24"/>
                <w:szCs w:val="24"/>
                <w:lang w:eastAsia="ru-RU"/>
              </w:rPr>
              <w:br/>
              <w:t>(индивидуальный тариф)</w:t>
            </w:r>
          </w:p>
          <w:p w:rsidR="00B86A73" w:rsidRPr="00DB11D3" w:rsidRDefault="00B86A73" w:rsidP="00B86A73">
            <w:pPr>
              <w:spacing w:after="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color w:val="595959" w:themeColor="text1" w:themeTint="A6"/>
                <w:sz w:val="24"/>
                <w:szCs w:val="24"/>
                <w:lang w:eastAsia="ru-RU"/>
              </w:rPr>
              <w:t>6% на финансирование фиксированной выплаты </w:t>
            </w:r>
            <w:r w:rsidRPr="00DB11D3">
              <w:rPr>
                <w:rFonts w:ascii="Arial" w:eastAsia="Times New Roman" w:hAnsi="Arial" w:cs="Arial"/>
                <w:color w:val="595959" w:themeColor="text1" w:themeTint="A6"/>
                <w:sz w:val="24"/>
                <w:szCs w:val="24"/>
                <w:lang w:eastAsia="ru-RU"/>
              </w:rPr>
              <w:br/>
              <w:t>(солидарный тариф)</w:t>
            </w:r>
          </w:p>
        </w:tc>
      </w:tr>
    </w:tbl>
    <w:p w:rsidR="00B86A73" w:rsidRPr="00DB11D3" w:rsidRDefault="00B86A73" w:rsidP="00B86A73">
      <w:pPr>
        <w:spacing w:after="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color w:val="595959" w:themeColor="text1" w:themeTint="A6"/>
          <w:sz w:val="24"/>
          <w:szCs w:val="24"/>
          <w:lang w:eastAsia="ru-RU"/>
        </w:rPr>
        <w:br/>
      </w:r>
    </w:p>
    <w:p w:rsidR="00B86A73" w:rsidRPr="00DB11D3" w:rsidRDefault="00B86A73" w:rsidP="00B86A73">
      <w:pPr>
        <w:spacing w:after="24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color w:val="595959" w:themeColor="text1" w:themeTint="A6"/>
          <w:sz w:val="24"/>
          <w:szCs w:val="24"/>
          <w:lang w:eastAsia="ru-RU"/>
        </w:rPr>
        <w:t>Для того чтобы отказаться от формирования накопительной пенсии необходимо подать в ПФР соответствующее заявление. До истечения года, в котором подано заявление об отказе, застрахованное лицо вправе отозвать его, также подав соответствующее заявление.</w:t>
      </w:r>
    </w:p>
    <w:p w:rsidR="00B86A73" w:rsidRPr="00DB11D3" w:rsidRDefault="00B86A73" w:rsidP="00B86A73">
      <w:pPr>
        <w:spacing w:after="24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color w:val="595959" w:themeColor="text1" w:themeTint="A6"/>
          <w:sz w:val="24"/>
          <w:szCs w:val="24"/>
          <w:lang w:eastAsia="ru-RU"/>
        </w:rPr>
        <w:t xml:space="preserve">Пенсионные накопления, сформированные в рамках Программы государственного </w:t>
      </w:r>
      <w:proofErr w:type="spellStart"/>
      <w:r w:rsidRPr="00DB11D3">
        <w:rPr>
          <w:rFonts w:ascii="Arial" w:eastAsia="Times New Roman" w:hAnsi="Arial" w:cs="Arial"/>
          <w:color w:val="595959" w:themeColor="text1" w:themeTint="A6"/>
          <w:sz w:val="24"/>
          <w:szCs w:val="24"/>
          <w:lang w:eastAsia="ru-RU"/>
        </w:rPr>
        <w:t>софинансирования</w:t>
      </w:r>
      <w:proofErr w:type="spellEnd"/>
      <w:r w:rsidRPr="00DB11D3">
        <w:rPr>
          <w:rFonts w:ascii="Arial" w:eastAsia="Times New Roman" w:hAnsi="Arial" w:cs="Arial"/>
          <w:color w:val="595959" w:themeColor="text1" w:themeTint="A6"/>
          <w:sz w:val="24"/>
          <w:szCs w:val="24"/>
          <w:lang w:eastAsia="ru-RU"/>
        </w:rPr>
        <w:t xml:space="preserve"> пенсий, и средства материнского капитала, направленные на формирование накопительной пенсии, входят в общую сумму пенсионных накоплений гражданина в системе обязательного пенсионного страхования. Участники Программы могут отказаться от формирования накопительной пенсии по обязательному пенсионному страхованию, но смогут и дальше участвовать в Программе: уплачивать добровольные взносы, получать </w:t>
      </w:r>
      <w:proofErr w:type="spellStart"/>
      <w:r w:rsidRPr="00DB11D3">
        <w:rPr>
          <w:rFonts w:ascii="Arial" w:eastAsia="Times New Roman" w:hAnsi="Arial" w:cs="Arial"/>
          <w:color w:val="595959" w:themeColor="text1" w:themeTint="A6"/>
          <w:sz w:val="24"/>
          <w:szCs w:val="24"/>
          <w:lang w:eastAsia="ru-RU"/>
        </w:rPr>
        <w:t>софинансирование</w:t>
      </w:r>
      <w:proofErr w:type="spellEnd"/>
      <w:r w:rsidRPr="00DB11D3">
        <w:rPr>
          <w:rFonts w:ascii="Arial" w:eastAsia="Times New Roman" w:hAnsi="Arial" w:cs="Arial"/>
          <w:color w:val="595959" w:themeColor="text1" w:themeTint="A6"/>
          <w:sz w:val="24"/>
          <w:szCs w:val="24"/>
          <w:lang w:eastAsia="ru-RU"/>
        </w:rPr>
        <w:t xml:space="preserve"> от государства и инвестиционный доход. Владельцы сертификата на материнский (семейный) капитал тоже могут выбрать вариант пенсионного обеспечения без формирования накопительной пенсии, однако они все равно вправе направить средства </w:t>
      </w:r>
      <w:proofErr w:type="gramStart"/>
      <w:r w:rsidRPr="00DB11D3">
        <w:rPr>
          <w:rFonts w:ascii="Arial" w:eastAsia="Times New Roman" w:hAnsi="Arial" w:cs="Arial"/>
          <w:color w:val="595959" w:themeColor="text1" w:themeTint="A6"/>
          <w:sz w:val="24"/>
          <w:szCs w:val="24"/>
          <w:lang w:eastAsia="ru-RU"/>
        </w:rPr>
        <w:t>МСК</w:t>
      </w:r>
      <w:proofErr w:type="gramEnd"/>
      <w:r w:rsidRPr="00DB11D3">
        <w:rPr>
          <w:rFonts w:ascii="Arial" w:eastAsia="Times New Roman" w:hAnsi="Arial" w:cs="Arial"/>
          <w:color w:val="595959" w:themeColor="text1" w:themeTint="A6"/>
          <w:sz w:val="24"/>
          <w:szCs w:val="24"/>
          <w:lang w:eastAsia="ru-RU"/>
        </w:rPr>
        <w:t xml:space="preserve"> или их часть на формирование пенсионных накоплений.</w:t>
      </w:r>
    </w:p>
    <w:p w:rsidR="00B86A73" w:rsidRPr="00DB11D3" w:rsidRDefault="00F94672" w:rsidP="00B86A73">
      <w:pPr>
        <w:spacing w:after="0" w:line="360" w:lineRule="auto"/>
        <w:jc w:val="both"/>
        <w:textAlignment w:val="baseline"/>
        <w:outlineLvl w:val="2"/>
        <w:rPr>
          <w:rFonts w:ascii="Arial" w:eastAsia="Times New Roman" w:hAnsi="Arial" w:cs="Arial"/>
          <w:b/>
          <w:bCs/>
          <w:color w:val="595959" w:themeColor="text1" w:themeTint="A6"/>
          <w:sz w:val="24"/>
          <w:szCs w:val="24"/>
          <w:lang w:eastAsia="ru-RU"/>
        </w:rPr>
      </w:pPr>
      <w:hyperlink r:id="rId7" w:history="1">
        <w:r w:rsidR="00B86A73" w:rsidRPr="00DB11D3">
          <w:rPr>
            <w:rFonts w:ascii="Arial" w:eastAsia="Times New Roman" w:hAnsi="Arial" w:cs="Arial"/>
            <w:b/>
            <w:bCs/>
            <w:color w:val="595959" w:themeColor="text1" w:themeTint="A6"/>
            <w:sz w:val="24"/>
            <w:szCs w:val="24"/>
            <w:u w:val="single"/>
            <w:bdr w:val="none" w:sz="0" w:space="0" w:color="auto" w:frame="1"/>
            <w:lang w:eastAsia="ru-RU"/>
          </w:rPr>
          <w:t>Как продолжить дальнейшее формирование страховой и накопительной пенсий</w:t>
        </w:r>
      </w:hyperlink>
    </w:p>
    <w:p w:rsidR="00B86A73" w:rsidRPr="00DB11D3" w:rsidRDefault="00B86A73" w:rsidP="00B86A73">
      <w:pPr>
        <w:spacing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color w:val="595959" w:themeColor="text1" w:themeTint="A6"/>
          <w:sz w:val="24"/>
          <w:szCs w:val="24"/>
          <w:lang w:eastAsia="ru-RU"/>
        </w:rPr>
        <w:lastRenderedPageBreak/>
        <w:t>При формировании страховой и накопительной пенсий тариф страховых взносов, который работодатель уплачивает из фонда оплаты труда работника, распределяется таким образом:</w:t>
      </w:r>
    </w:p>
    <w:tbl>
      <w:tblPr>
        <w:tblW w:w="10658" w:type="dxa"/>
        <w:shd w:val="clear" w:color="auto" w:fill="FFFFFF"/>
        <w:tblCellMar>
          <w:left w:w="0" w:type="dxa"/>
          <w:right w:w="0" w:type="dxa"/>
        </w:tblCellMar>
        <w:tblLook w:val="04A0" w:firstRow="1" w:lastRow="0" w:firstColumn="1" w:lastColumn="0" w:noHBand="0" w:noVBand="1"/>
      </w:tblPr>
      <w:tblGrid>
        <w:gridCol w:w="3145"/>
        <w:gridCol w:w="992"/>
        <w:gridCol w:w="6521"/>
      </w:tblGrid>
      <w:tr w:rsidR="00DB11D3" w:rsidRPr="00DB11D3" w:rsidTr="00B86A73">
        <w:tc>
          <w:tcPr>
            <w:tcW w:w="3145"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B86A73" w:rsidRPr="00DB11D3" w:rsidRDefault="00B86A73" w:rsidP="00B86A73">
            <w:pPr>
              <w:spacing w:after="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b/>
                <w:bCs/>
                <w:color w:val="595959" w:themeColor="text1" w:themeTint="A6"/>
                <w:sz w:val="24"/>
                <w:szCs w:val="24"/>
                <w:bdr w:val="none" w:sz="0" w:space="0" w:color="auto" w:frame="1"/>
                <w:lang w:eastAsia="ru-RU"/>
              </w:rPr>
              <w:t>Тариф страховых взносов </w:t>
            </w:r>
            <w:r w:rsidRPr="00DB11D3">
              <w:rPr>
                <w:rFonts w:ascii="Arial" w:eastAsia="Times New Roman" w:hAnsi="Arial" w:cs="Arial"/>
                <w:b/>
                <w:bCs/>
                <w:color w:val="595959" w:themeColor="text1" w:themeTint="A6"/>
                <w:sz w:val="24"/>
                <w:szCs w:val="24"/>
                <w:bdr w:val="none" w:sz="0" w:space="0" w:color="auto" w:frame="1"/>
                <w:lang w:eastAsia="ru-RU"/>
              </w:rPr>
              <w:br/>
              <w:t>работодателя на вашу </w:t>
            </w:r>
            <w:r w:rsidRPr="00DB11D3">
              <w:rPr>
                <w:rFonts w:ascii="Arial" w:eastAsia="Times New Roman" w:hAnsi="Arial" w:cs="Arial"/>
                <w:b/>
                <w:bCs/>
                <w:color w:val="595959" w:themeColor="text1" w:themeTint="A6"/>
                <w:sz w:val="24"/>
                <w:szCs w:val="24"/>
                <w:bdr w:val="none" w:sz="0" w:space="0" w:color="auto" w:frame="1"/>
                <w:lang w:eastAsia="ru-RU"/>
              </w:rPr>
              <w:br/>
              <w:t>будущую пенсию</w:t>
            </w:r>
          </w:p>
        </w:tc>
        <w:tc>
          <w:tcPr>
            <w:tcW w:w="992"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B86A73" w:rsidRPr="00DB11D3" w:rsidRDefault="00B86A73" w:rsidP="00B86A73">
            <w:pPr>
              <w:spacing w:after="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b/>
                <w:bCs/>
                <w:color w:val="595959" w:themeColor="text1" w:themeTint="A6"/>
                <w:sz w:val="24"/>
                <w:szCs w:val="24"/>
                <w:bdr w:val="none" w:sz="0" w:space="0" w:color="auto" w:frame="1"/>
                <w:lang w:eastAsia="ru-RU"/>
              </w:rPr>
              <w:t>22%</w:t>
            </w:r>
          </w:p>
        </w:tc>
        <w:tc>
          <w:tcPr>
            <w:tcW w:w="6521"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B86A73" w:rsidRPr="00DB11D3" w:rsidRDefault="00B86A73" w:rsidP="00B86A73">
            <w:pPr>
              <w:spacing w:after="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color w:val="595959" w:themeColor="text1" w:themeTint="A6"/>
                <w:sz w:val="24"/>
                <w:szCs w:val="24"/>
                <w:lang w:eastAsia="ru-RU"/>
              </w:rPr>
              <w:t>10% на страховую пенсию и 6% на накопительную пенсию </w:t>
            </w:r>
            <w:r w:rsidRPr="00DB11D3">
              <w:rPr>
                <w:rFonts w:ascii="Arial" w:eastAsia="Times New Roman" w:hAnsi="Arial" w:cs="Arial"/>
                <w:color w:val="595959" w:themeColor="text1" w:themeTint="A6"/>
                <w:sz w:val="24"/>
                <w:szCs w:val="24"/>
                <w:lang w:eastAsia="ru-RU"/>
              </w:rPr>
              <w:br/>
              <w:t>(</w:t>
            </w:r>
            <w:r w:rsidRPr="00DB11D3">
              <w:rPr>
                <w:rFonts w:ascii="Arial" w:eastAsia="Times New Roman" w:hAnsi="Arial" w:cs="Arial"/>
                <w:color w:val="595959" w:themeColor="text1" w:themeTint="A6"/>
                <w:sz w:val="24"/>
                <w:szCs w:val="24"/>
                <w:u w:val="single"/>
                <w:bdr w:val="none" w:sz="0" w:space="0" w:color="auto" w:frame="1"/>
                <w:lang w:eastAsia="ru-RU"/>
              </w:rPr>
              <w:t>индивидуальный тариф</w:t>
            </w:r>
            <w:r w:rsidRPr="00DB11D3">
              <w:rPr>
                <w:rFonts w:ascii="Arial" w:eastAsia="Times New Roman" w:hAnsi="Arial" w:cs="Arial"/>
                <w:color w:val="595959" w:themeColor="text1" w:themeTint="A6"/>
                <w:sz w:val="24"/>
                <w:szCs w:val="24"/>
                <w:lang w:eastAsia="ru-RU"/>
              </w:rPr>
              <w:t>)</w:t>
            </w:r>
          </w:p>
          <w:p w:rsidR="00B86A73" w:rsidRPr="00DB11D3" w:rsidRDefault="00B86A73" w:rsidP="00B86A73">
            <w:pPr>
              <w:spacing w:after="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color w:val="595959" w:themeColor="text1" w:themeTint="A6"/>
                <w:sz w:val="24"/>
                <w:szCs w:val="24"/>
                <w:lang w:eastAsia="ru-RU"/>
              </w:rPr>
              <w:t>6% на финансирование фиксированной выплаты </w:t>
            </w:r>
            <w:r w:rsidRPr="00DB11D3">
              <w:rPr>
                <w:rFonts w:ascii="Arial" w:eastAsia="Times New Roman" w:hAnsi="Arial" w:cs="Arial"/>
                <w:color w:val="595959" w:themeColor="text1" w:themeTint="A6"/>
                <w:sz w:val="24"/>
                <w:szCs w:val="24"/>
                <w:lang w:eastAsia="ru-RU"/>
              </w:rPr>
              <w:br/>
              <w:t>(</w:t>
            </w:r>
            <w:r w:rsidRPr="00DB11D3">
              <w:rPr>
                <w:rFonts w:ascii="Arial" w:eastAsia="Times New Roman" w:hAnsi="Arial" w:cs="Arial"/>
                <w:color w:val="595959" w:themeColor="text1" w:themeTint="A6"/>
                <w:sz w:val="24"/>
                <w:szCs w:val="24"/>
                <w:u w:val="single"/>
                <w:bdr w:val="none" w:sz="0" w:space="0" w:color="auto" w:frame="1"/>
                <w:lang w:eastAsia="ru-RU"/>
              </w:rPr>
              <w:t>солидарный тариф</w:t>
            </w:r>
            <w:r w:rsidRPr="00DB11D3">
              <w:rPr>
                <w:rFonts w:ascii="Arial" w:eastAsia="Times New Roman" w:hAnsi="Arial" w:cs="Arial"/>
                <w:color w:val="595959" w:themeColor="text1" w:themeTint="A6"/>
                <w:sz w:val="24"/>
                <w:szCs w:val="24"/>
                <w:lang w:eastAsia="ru-RU"/>
              </w:rPr>
              <w:t>)</w:t>
            </w:r>
          </w:p>
        </w:tc>
      </w:tr>
    </w:tbl>
    <w:p w:rsidR="00B86A73" w:rsidRPr="00DB11D3" w:rsidRDefault="00B86A73" w:rsidP="00B86A73">
      <w:pPr>
        <w:spacing w:after="24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color w:val="595959" w:themeColor="text1" w:themeTint="A6"/>
          <w:sz w:val="24"/>
          <w:szCs w:val="24"/>
          <w:lang w:eastAsia="ru-RU"/>
        </w:rPr>
        <w:t>В настоящее время право выбора варианта пенсионного обеспечения в отношении будущих пенсионных накоплений сохраняется у лиц, 1967 года рождения и моложе, в отношении которых с 1 января 2014 года впервые начисляются страховые взносы на обязательное пенсионное страхование. У них сохраняется возможность принять решение:</w:t>
      </w:r>
    </w:p>
    <w:p w:rsidR="00B86A73" w:rsidRPr="00DB11D3" w:rsidRDefault="00B86A73" w:rsidP="00B86A73">
      <w:pPr>
        <w:numPr>
          <w:ilvl w:val="0"/>
          <w:numId w:val="1"/>
        </w:numPr>
        <w:spacing w:after="0" w:line="360" w:lineRule="auto"/>
        <w:ind w:left="480"/>
        <w:jc w:val="both"/>
        <w:textAlignment w:val="baseline"/>
        <w:rPr>
          <w:rFonts w:ascii="Arial" w:eastAsia="Times New Roman" w:hAnsi="Arial" w:cs="Arial"/>
          <w:i/>
          <w:iCs/>
          <w:color w:val="595959" w:themeColor="text1" w:themeTint="A6"/>
          <w:sz w:val="24"/>
          <w:szCs w:val="24"/>
          <w:lang w:eastAsia="ru-RU"/>
        </w:rPr>
      </w:pPr>
      <w:r w:rsidRPr="00DB11D3">
        <w:rPr>
          <w:rFonts w:ascii="Arial" w:eastAsia="Times New Roman" w:hAnsi="Arial" w:cs="Arial"/>
          <w:i/>
          <w:iCs/>
          <w:color w:val="595959" w:themeColor="text1" w:themeTint="A6"/>
          <w:sz w:val="24"/>
          <w:szCs w:val="24"/>
          <w:bdr w:val="none" w:sz="0" w:space="0" w:color="auto" w:frame="1"/>
          <w:lang w:eastAsia="ru-RU"/>
        </w:rPr>
        <w:t>формировать только страховую пенсию;</w:t>
      </w:r>
    </w:p>
    <w:p w:rsidR="00B86A73" w:rsidRPr="00DB11D3" w:rsidRDefault="00B86A73" w:rsidP="00B86A73">
      <w:pPr>
        <w:numPr>
          <w:ilvl w:val="0"/>
          <w:numId w:val="1"/>
        </w:numPr>
        <w:spacing w:line="360" w:lineRule="auto"/>
        <w:ind w:left="480"/>
        <w:jc w:val="both"/>
        <w:textAlignment w:val="baseline"/>
        <w:rPr>
          <w:rFonts w:ascii="Arial" w:eastAsia="Times New Roman" w:hAnsi="Arial" w:cs="Arial"/>
          <w:i/>
          <w:iCs/>
          <w:color w:val="595959" w:themeColor="text1" w:themeTint="A6"/>
          <w:sz w:val="24"/>
          <w:szCs w:val="24"/>
          <w:lang w:eastAsia="ru-RU"/>
        </w:rPr>
      </w:pPr>
      <w:r w:rsidRPr="00DB11D3">
        <w:rPr>
          <w:rFonts w:ascii="Arial" w:eastAsia="Times New Roman" w:hAnsi="Arial" w:cs="Arial"/>
          <w:i/>
          <w:iCs/>
          <w:color w:val="595959" w:themeColor="text1" w:themeTint="A6"/>
          <w:sz w:val="24"/>
          <w:szCs w:val="24"/>
          <w:lang w:eastAsia="ru-RU"/>
        </w:rPr>
        <w:t>формировать страховую и накопительную пенсию одновременно.</w:t>
      </w:r>
    </w:p>
    <w:p w:rsidR="00B86A73" w:rsidRPr="00DB11D3" w:rsidRDefault="00F94672" w:rsidP="00B86A73">
      <w:pPr>
        <w:spacing w:after="0" w:line="360" w:lineRule="auto"/>
        <w:jc w:val="both"/>
        <w:textAlignment w:val="baseline"/>
        <w:outlineLvl w:val="2"/>
        <w:rPr>
          <w:rFonts w:ascii="Arial" w:eastAsia="Times New Roman" w:hAnsi="Arial" w:cs="Arial"/>
          <w:b/>
          <w:bCs/>
          <w:color w:val="595959" w:themeColor="text1" w:themeTint="A6"/>
          <w:sz w:val="24"/>
          <w:szCs w:val="24"/>
          <w:lang w:val="en-US" w:eastAsia="ru-RU"/>
        </w:rPr>
      </w:pPr>
      <w:hyperlink r:id="rId8" w:history="1">
        <w:r w:rsidR="00B86A73" w:rsidRPr="00DB11D3">
          <w:rPr>
            <w:rFonts w:ascii="Arial" w:eastAsia="Times New Roman" w:hAnsi="Arial" w:cs="Arial"/>
            <w:b/>
            <w:bCs/>
            <w:color w:val="595959" w:themeColor="text1" w:themeTint="A6"/>
            <w:sz w:val="24"/>
            <w:szCs w:val="24"/>
            <w:u w:val="single"/>
            <w:bdr w:val="none" w:sz="0" w:space="0" w:color="auto" w:frame="1"/>
            <w:lang w:eastAsia="ru-RU"/>
          </w:rPr>
          <w:t>Куда обратиться</w:t>
        </w:r>
      </w:hyperlink>
    </w:p>
    <w:p w:rsidR="00B86A73" w:rsidRPr="00DB11D3" w:rsidRDefault="00B86A73" w:rsidP="00B86A73">
      <w:pPr>
        <w:spacing w:after="0" w:line="360" w:lineRule="auto"/>
        <w:jc w:val="both"/>
        <w:textAlignment w:val="baseline"/>
        <w:outlineLvl w:val="2"/>
        <w:rPr>
          <w:rFonts w:ascii="Arial" w:eastAsia="Times New Roman" w:hAnsi="Arial" w:cs="Arial"/>
          <w:b/>
          <w:bCs/>
          <w:color w:val="595959" w:themeColor="text1" w:themeTint="A6"/>
          <w:sz w:val="24"/>
          <w:szCs w:val="24"/>
          <w:lang w:val="en-US" w:eastAsia="ru-RU"/>
        </w:rPr>
      </w:pPr>
    </w:p>
    <w:p w:rsidR="00B86A73" w:rsidRPr="00DB11D3" w:rsidRDefault="00B86A73" w:rsidP="00B86A73">
      <w:pPr>
        <w:numPr>
          <w:ilvl w:val="0"/>
          <w:numId w:val="2"/>
        </w:numPr>
        <w:spacing w:after="0" w:line="360" w:lineRule="auto"/>
        <w:ind w:left="480"/>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b/>
          <w:bCs/>
          <w:color w:val="595959" w:themeColor="text1" w:themeTint="A6"/>
          <w:sz w:val="24"/>
          <w:szCs w:val="24"/>
          <w:bdr w:val="none" w:sz="0" w:space="0" w:color="auto" w:frame="1"/>
          <w:lang w:eastAsia="ru-RU"/>
        </w:rPr>
        <w:t>При отказе от  финансирования накопительной пенсии</w:t>
      </w:r>
    </w:p>
    <w:p w:rsidR="00B86A73" w:rsidRPr="00DB11D3" w:rsidRDefault="00B86A73" w:rsidP="00B86A73">
      <w:pPr>
        <w:spacing w:after="240"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color w:val="595959" w:themeColor="text1" w:themeTint="A6"/>
          <w:sz w:val="24"/>
          <w:szCs w:val="24"/>
          <w:lang w:eastAsia="ru-RU"/>
        </w:rPr>
        <w:t>Заявление об отказе от финансирования накопительной пенсии подается  следующими способами:</w:t>
      </w:r>
    </w:p>
    <w:p w:rsidR="00B86A73" w:rsidRPr="00DB11D3" w:rsidRDefault="00B86A73" w:rsidP="00B86A73">
      <w:pPr>
        <w:numPr>
          <w:ilvl w:val="0"/>
          <w:numId w:val="3"/>
        </w:numPr>
        <w:spacing w:after="168" w:line="360" w:lineRule="auto"/>
        <w:ind w:left="480"/>
        <w:jc w:val="both"/>
        <w:textAlignment w:val="baseline"/>
        <w:rPr>
          <w:rFonts w:ascii="Arial" w:eastAsia="Times New Roman" w:hAnsi="Arial" w:cs="Arial"/>
          <w:i/>
          <w:iCs/>
          <w:color w:val="595959" w:themeColor="text1" w:themeTint="A6"/>
          <w:sz w:val="24"/>
          <w:szCs w:val="24"/>
          <w:lang w:eastAsia="ru-RU"/>
        </w:rPr>
      </w:pPr>
      <w:r w:rsidRPr="00DB11D3">
        <w:rPr>
          <w:rFonts w:ascii="Arial" w:eastAsia="Times New Roman" w:hAnsi="Arial" w:cs="Arial"/>
          <w:i/>
          <w:iCs/>
          <w:color w:val="595959" w:themeColor="text1" w:themeTint="A6"/>
          <w:sz w:val="24"/>
          <w:szCs w:val="24"/>
          <w:lang w:eastAsia="ru-RU"/>
        </w:rPr>
        <w:t>лично (через представителя) в ПФР – в любую клиентскую службу территориального органа ПФР. При этом установление личности и проверку подлинности подписи гражданина осуществляет сотрудник территориального органа ПФР;</w:t>
      </w:r>
    </w:p>
    <w:p w:rsidR="00B86A73" w:rsidRPr="00DB11D3" w:rsidRDefault="00B86A73" w:rsidP="00B86A73">
      <w:pPr>
        <w:numPr>
          <w:ilvl w:val="0"/>
          <w:numId w:val="3"/>
        </w:numPr>
        <w:spacing w:after="168" w:line="360" w:lineRule="auto"/>
        <w:ind w:left="480"/>
        <w:jc w:val="both"/>
        <w:textAlignment w:val="baseline"/>
        <w:rPr>
          <w:rFonts w:ascii="Arial" w:eastAsia="Times New Roman" w:hAnsi="Arial" w:cs="Arial"/>
          <w:i/>
          <w:iCs/>
          <w:color w:val="595959" w:themeColor="text1" w:themeTint="A6"/>
          <w:sz w:val="24"/>
          <w:szCs w:val="24"/>
          <w:lang w:eastAsia="ru-RU"/>
        </w:rPr>
      </w:pPr>
      <w:r w:rsidRPr="00DB11D3">
        <w:rPr>
          <w:rFonts w:ascii="Arial" w:eastAsia="Times New Roman" w:hAnsi="Arial" w:cs="Arial"/>
          <w:i/>
          <w:iCs/>
          <w:color w:val="595959" w:themeColor="text1" w:themeTint="A6"/>
          <w:sz w:val="24"/>
          <w:szCs w:val="24"/>
          <w:lang w:eastAsia="ru-RU"/>
        </w:rPr>
        <w:t>по почте. При этом установление личности и проверку подлинности подписи гражданина осуществляет нотариус или в порядке, установленном пунктом 2 статьи 185.1 Гражданского кодекса Российской Федерации, или должностное лицо консульских учреждений Российской Федерации, если гражданин находится за пределами РФ;</w:t>
      </w:r>
    </w:p>
    <w:p w:rsidR="00B86A73" w:rsidRPr="00DB11D3" w:rsidRDefault="00B86A73" w:rsidP="00B86A73">
      <w:pPr>
        <w:numPr>
          <w:ilvl w:val="0"/>
          <w:numId w:val="3"/>
        </w:numPr>
        <w:spacing w:after="0" w:line="360" w:lineRule="auto"/>
        <w:ind w:left="480"/>
        <w:jc w:val="both"/>
        <w:textAlignment w:val="baseline"/>
        <w:rPr>
          <w:rFonts w:ascii="Arial" w:eastAsia="Times New Roman" w:hAnsi="Arial" w:cs="Arial"/>
          <w:i/>
          <w:iCs/>
          <w:color w:val="595959" w:themeColor="text1" w:themeTint="A6"/>
          <w:sz w:val="24"/>
          <w:szCs w:val="24"/>
          <w:lang w:eastAsia="ru-RU"/>
        </w:rPr>
      </w:pPr>
      <w:r w:rsidRPr="00DB11D3">
        <w:rPr>
          <w:rFonts w:ascii="Arial" w:eastAsia="Times New Roman" w:hAnsi="Arial" w:cs="Arial"/>
          <w:i/>
          <w:iCs/>
          <w:color w:val="595959" w:themeColor="text1" w:themeTint="A6"/>
          <w:sz w:val="24"/>
          <w:szCs w:val="24"/>
          <w:lang w:eastAsia="ru-RU"/>
        </w:rPr>
        <w:t>в форме электронного документа через портал </w:t>
      </w:r>
      <w:hyperlink r:id="rId9" w:history="1">
        <w:r w:rsidRPr="00DB11D3">
          <w:rPr>
            <w:rFonts w:ascii="Arial" w:eastAsia="Times New Roman" w:hAnsi="Arial" w:cs="Arial"/>
            <w:i/>
            <w:iCs/>
            <w:color w:val="595959" w:themeColor="text1" w:themeTint="A6"/>
            <w:sz w:val="24"/>
            <w:szCs w:val="24"/>
            <w:u w:val="single"/>
            <w:bdr w:val="none" w:sz="0" w:space="0" w:color="auto" w:frame="1"/>
            <w:lang w:eastAsia="ru-RU"/>
          </w:rPr>
          <w:t>www.gosuslugi.ru</w:t>
        </w:r>
      </w:hyperlink>
      <w:r w:rsidRPr="00DB11D3">
        <w:rPr>
          <w:rFonts w:ascii="Arial" w:eastAsia="Times New Roman" w:hAnsi="Arial" w:cs="Arial"/>
          <w:i/>
          <w:iCs/>
          <w:color w:val="595959" w:themeColor="text1" w:themeTint="A6"/>
          <w:sz w:val="24"/>
          <w:szCs w:val="24"/>
          <w:lang w:eastAsia="ru-RU"/>
        </w:rPr>
        <w:t>, в Личном кабинете застрахованного лица на сайте ПФР</w:t>
      </w:r>
    </w:p>
    <w:p w:rsidR="00B86A73" w:rsidRPr="00DB11D3" w:rsidRDefault="00B86A73" w:rsidP="00B86A73">
      <w:pPr>
        <w:spacing w:after="0" w:line="360" w:lineRule="auto"/>
        <w:ind w:left="480"/>
        <w:jc w:val="both"/>
        <w:textAlignment w:val="baseline"/>
        <w:rPr>
          <w:rFonts w:ascii="Arial" w:eastAsia="Times New Roman" w:hAnsi="Arial" w:cs="Arial"/>
          <w:i/>
          <w:iCs/>
          <w:color w:val="595959" w:themeColor="text1" w:themeTint="A6"/>
          <w:sz w:val="24"/>
          <w:szCs w:val="24"/>
          <w:lang w:eastAsia="ru-RU"/>
        </w:rPr>
      </w:pPr>
    </w:p>
    <w:p w:rsidR="00B86A73" w:rsidRPr="00DB11D3" w:rsidRDefault="00B86A73" w:rsidP="00B86A73">
      <w:pPr>
        <w:numPr>
          <w:ilvl w:val="0"/>
          <w:numId w:val="4"/>
        </w:numPr>
        <w:spacing w:after="0" w:line="360" w:lineRule="auto"/>
        <w:ind w:left="480"/>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b/>
          <w:bCs/>
          <w:color w:val="595959" w:themeColor="text1" w:themeTint="A6"/>
          <w:sz w:val="24"/>
          <w:szCs w:val="24"/>
          <w:bdr w:val="none" w:sz="0" w:space="0" w:color="auto" w:frame="1"/>
          <w:lang w:eastAsia="ru-RU"/>
        </w:rPr>
        <w:t>При выборе дальнейшего формирования страховой и накопительной пенсий</w:t>
      </w:r>
    </w:p>
    <w:p w:rsidR="00B86A73" w:rsidRPr="00DB11D3" w:rsidRDefault="00B86A73" w:rsidP="00B86A73">
      <w:pPr>
        <w:spacing w:line="360" w:lineRule="auto"/>
        <w:jc w:val="both"/>
        <w:textAlignment w:val="baseline"/>
        <w:rPr>
          <w:rFonts w:ascii="Arial" w:eastAsia="Times New Roman" w:hAnsi="Arial" w:cs="Arial"/>
          <w:color w:val="595959" w:themeColor="text1" w:themeTint="A6"/>
          <w:sz w:val="24"/>
          <w:szCs w:val="24"/>
          <w:lang w:eastAsia="ru-RU"/>
        </w:rPr>
      </w:pPr>
      <w:r w:rsidRPr="00DB11D3">
        <w:rPr>
          <w:rFonts w:ascii="Arial" w:eastAsia="Times New Roman" w:hAnsi="Arial" w:cs="Arial"/>
          <w:color w:val="595959" w:themeColor="text1" w:themeTint="A6"/>
          <w:sz w:val="24"/>
          <w:szCs w:val="24"/>
          <w:lang w:eastAsia="ru-RU"/>
        </w:rPr>
        <w:t xml:space="preserve">Выбор формирования страховой и накопительной пенсии доступен только для граждан, 1967 года рождения и моложе, в пользу которых страховые взносы по обязательному </w:t>
      </w:r>
      <w:r w:rsidRPr="00DB11D3">
        <w:rPr>
          <w:rFonts w:ascii="Arial" w:eastAsia="Times New Roman" w:hAnsi="Arial" w:cs="Arial"/>
          <w:color w:val="595959" w:themeColor="text1" w:themeTint="A6"/>
          <w:sz w:val="24"/>
          <w:szCs w:val="24"/>
          <w:lang w:eastAsia="ru-RU"/>
        </w:rPr>
        <w:lastRenderedPageBreak/>
        <w:t>пенсионному страхованию начнут начисляться работодателем впервые после 1 января 2015 года. Чтобы в дальнейшем формировать страховую и накопительную пенсии, им следует в течение пяти лет с момента первого начисления страховых взносов подать заявление о выборе управляющей компании либо негосударственного пенсионного фонда с направлением 6% тарифа страховых взносов на финансирование накопительной пенсии. Если гражданин не достиг возраста 23 лет, указанный период увеличивается до окончания года, в котором ему исполняется 23 года.</w:t>
      </w:r>
    </w:p>
    <w:p w:rsidR="00924688" w:rsidRPr="00DB11D3" w:rsidRDefault="00924688">
      <w:pPr>
        <w:rPr>
          <w:color w:val="595959" w:themeColor="text1" w:themeTint="A6"/>
        </w:rPr>
      </w:pPr>
    </w:p>
    <w:p w:rsidR="001A3F1F" w:rsidRPr="00DB11D3" w:rsidRDefault="001A3F1F">
      <w:pPr>
        <w:rPr>
          <w:color w:val="595959" w:themeColor="text1" w:themeTint="A6"/>
        </w:rPr>
      </w:pPr>
    </w:p>
    <w:p w:rsidR="002F5B48" w:rsidRPr="00DB11D3" w:rsidRDefault="002F5B48" w:rsidP="002F5B48">
      <w:pPr>
        <w:spacing w:after="0"/>
        <w:ind w:firstLine="3969"/>
        <w:rPr>
          <w:rFonts w:ascii="Arial" w:eastAsia="Times New Roman" w:hAnsi="Arial" w:cs="Arial"/>
          <w:b/>
          <w:color w:val="595959" w:themeColor="text1" w:themeTint="A6"/>
          <w:sz w:val="24"/>
          <w:szCs w:val="24"/>
          <w:lang w:eastAsia="ru-RU"/>
        </w:rPr>
      </w:pPr>
      <w:r w:rsidRPr="00DB11D3">
        <w:rPr>
          <w:rFonts w:ascii="Arial" w:eastAsia="Times New Roman" w:hAnsi="Arial" w:cs="Arial"/>
          <w:b/>
          <w:color w:val="595959" w:themeColor="text1" w:themeTint="A6"/>
          <w:sz w:val="24"/>
          <w:szCs w:val="24"/>
          <w:lang w:eastAsia="ru-RU"/>
        </w:rPr>
        <w:t>Пресс-служба</w:t>
      </w:r>
    </w:p>
    <w:p w:rsidR="002F5B48" w:rsidRPr="00DB11D3" w:rsidRDefault="002F5B48" w:rsidP="002F5B48">
      <w:pPr>
        <w:spacing w:after="0"/>
        <w:ind w:firstLine="3969"/>
        <w:rPr>
          <w:rFonts w:ascii="Arial" w:eastAsia="Times New Roman" w:hAnsi="Arial" w:cs="Arial"/>
          <w:b/>
          <w:color w:val="595959" w:themeColor="text1" w:themeTint="A6"/>
          <w:sz w:val="24"/>
          <w:szCs w:val="24"/>
          <w:lang w:eastAsia="ru-RU"/>
        </w:rPr>
      </w:pPr>
      <w:r w:rsidRPr="00DB11D3">
        <w:rPr>
          <w:rFonts w:ascii="Arial" w:eastAsia="Times New Roman" w:hAnsi="Arial" w:cs="Arial"/>
          <w:b/>
          <w:color w:val="595959" w:themeColor="text1" w:themeTint="A6"/>
          <w:sz w:val="24"/>
          <w:szCs w:val="24"/>
          <w:lang w:eastAsia="ru-RU"/>
        </w:rPr>
        <w:t>Отделения Пенсионного фонда РФ</w:t>
      </w:r>
    </w:p>
    <w:p w:rsidR="002F5B48" w:rsidRPr="00DB11D3" w:rsidRDefault="002F5B48" w:rsidP="002F5B48">
      <w:pPr>
        <w:spacing w:after="0"/>
        <w:ind w:firstLine="3969"/>
        <w:rPr>
          <w:rFonts w:ascii="Arial" w:eastAsia="Times New Roman" w:hAnsi="Arial" w:cs="Arial"/>
          <w:b/>
          <w:color w:val="595959" w:themeColor="text1" w:themeTint="A6"/>
          <w:sz w:val="24"/>
          <w:szCs w:val="24"/>
          <w:lang w:eastAsia="ru-RU"/>
        </w:rPr>
      </w:pPr>
      <w:r w:rsidRPr="00DB11D3">
        <w:rPr>
          <w:rFonts w:ascii="Arial" w:eastAsia="Times New Roman" w:hAnsi="Arial" w:cs="Arial"/>
          <w:b/>
          <w:color w:val="595959" w:themeColor="text1" w:themeTint="A6"/>
          <w:sz w:val="24"/>
          <w:szCs w:val="24"/>
          <w:lang w:eastAsia="ru-RU"/>
        </w:rPr>
        <w:t>по Кабардино-Балкарской республике</w:t>
      </w:r>
    </w:p>
    <w:p w:rsidR="002F5B48" w:rsidRPr="00DB11D3" w:rsidRDefault="002F5B48" w:rsidP="002F5B48">
      <w:pPr>
        <w:spacing w:after="0"/>
        <w:ind w:firstLine="3969"/>
        <w:rPr>
          <w:rFonts w:ascii="Arial" w:eastAsia="Times New Roman" w:hAnsi="Arial" w:cs="Arial"/>
          <w:b/>
          <w:color w:val="595959" w:themeColor="text1" w:themeTint="A6"/>
          <w:sz w:val="24"/>
          <w:szCs w:val="24"/>
          <w:lang w:eastAsia="ru-RU"/>
        </w:rPr>
      </w:pPr>
      <w:r w:rsidRPr="00DB11D3">
        <w:rPr>
          <w:rFonts w:ascii="Arial" w:eastAsia="Times New Roman" w:hAnsi="Arial" w:cs="Arial"/>
          <w:b/>
          <w:color w:val="595959" w:themeColor="text1" w:themeTint="A6"/>
          <w:sz w:val="24"/>
          <w:szCs w:val="24"/>
          <w:lang w:eastAsia="ru-RU"/>
        </w:rPr>
        <w:t>г. Нальчик, ул. Чернышевского 181 «а»,</w:t>
      </w:r>
    </w:p>
    <w:p w:rsidR="002F5B48" w:rsidRPr="00DB11D3" w:rsidRDefault="002F5B48" w:rsidP="002F5B48">
      <w:pPr>
        <w:spacing w:after="0"/>
        <w:ind w:firstLine="3969"/>
        <w:rPr>
          <w:rFonts w:ascii="Arial" w:eastAsia="Times New Roman" w:hAnsi="Arial" w:cs="Arial"/>
          <w:b/>
          <w:color w:val="595959" w:themeColor="text1" w:themeTint="A6"/>
          <w:sz w:val="24"/>
          <w:szCs w:val="24"/>
          <w:lang w:eastAsia="ru-RU"/>
        </w:rPr>
      </w:pPr>
      <w:r w:rsidRPr="00DB11D3">
        <w:rPr>
          <w:rFonts w:ascii="Arial" w:eastAsia="Times New Roman" w:hAnsi="Arial" w:cs="Arial"/>
          <w:b/>
          <w:color w:val="595959" w:themeColor="text1" w:themeTint="A6"/>
          <w:sz w:val="24"/>
          <w:szCs w:val="24"/>
          <w:lang w:eastAsia="ru-RU"/>
        </w:rPr>
        <w:t>Офис № 316</w:t>
      </w:r>
    </w:p>
    <w:p w:rsidR="002F5B48" w:rsidRPr="00DB11D3" w:rsidRDefault="002F5B48" w:rsidP="002F5B48">
      <w:pPr>
        <w:spacing w:after="0"/>
        <w:ind w:firstLine="3969"/>
        <w:rPr>
          <w:rFonts w:ascii="Arial" w:eastAsia="Times New Roman" w:hAnsi="Arial" w:cs="Arial"/>
          <w:b/>
          <w:color w:val="595959" w:themeColor="text1" w:themeTint="A6"/>
          <w:sz w:val="24"/>
          <w:szCs w:val="24"/>
          <w:lang w:eastAsia="ru-RU"/>
        </w:rPr>
      </w:pPr>
      <w:r w:rsidRPr="00DB11D3">
        <w:rPr>
          <w:rFonts w:ascii="Arial" w:eastAsia="Times New Roman" w:hAnsi="Arial" w:cs="Arial"/>
          <w:b/>
          <w:color w:val="595959" w:themeColor="text1" w:themeTint="A6"/>
          <w:sz w:val="24"/>
          <w:szCs w:val="24"/>
          <w:lang w:eastAsia="ru-RU"/>
        </w:rPr>
        <w:t xml:space="preserve">Вебсайт: </w:t>
      </w:r>
      <w:hyperlink r:id="rId10" w:history="1">
        <w:r w:rsidRPr="00DB11D3">
          <w:rPr>
            <w:rStyle w:val="a5"/>
            <w:rFonts w:ascii="Arial" w:eastAsia="Times New Roman" w:hAnsi="Arial" w:cs="Arial"/>
            <w:b/>
            <w:color w:val="595959" w:themeColor="text1" w:themeTint="A6"/>
            <w:sz w:val="24"/>
            <w:szCs w:val="24"/>
            <w:lang w:eastAsia="ru-RU"/>
          </w:rPr>
          <w:t>http://www.pfrf.ru/branches/kbr/news/</w:t>
        </w:r>
      </w:hyperlink>
    </w:p>
    <w:p w:rsidR="002F5B48" w:rsidRPr="00DB11D3" w:rsidRDefault="002F5B48" w:rsidP="002F5B48">
      <w:pPr>
        <w:spacing w:after="0"/>
        <w:ind w:firstLine="3969"/>
        <w:rPr>
          <w:rFonts w:ascii="Arial" w:eastAsia="Times New Roman" w:hAnsi="Arial" w:cs="Arial"/>
          <w:b/>
          <w:color w:val="595959" w:themeColor="text1" w:themeTint="A6"/>
          <w:sz w:val="24"/>
          <w:szCs w:val="24"/>
          <w:lang w:val="en-US" w:eastAsia="ru-RU"/>
        </w:rPr>
      </w:pPr>
      <w:r w:rsidRPr="00DB11D3">
        <w:rPr>
          <w:rFonts w:ascii="Arial" w:eastAsia="Times New Roman" w:hAnsi="Arial" w:cs="Arial"/>
          <w:b/>
          <w:color w:val="595959" w:themeColor="text1" w:themeTint="A6"/>
          <w:sz w:val="24"/>
          <w:szCs w:val="24"/>
          <w:lang w:val="en-US" w:eastAsia="ru-RU"/>
        </w:rPr>
        <w:t xml:space="preserve">E-mail: </w:t>
      </w:r>
      <w:r w:rsidRPr="00DB11D3">
        <w:rPr>
          <w:rFonts w:ascii="Arial" w:eastAsia="Times New Roman" w:hAnsi="Arial" w:cs="Arial"/>
          <w:b/>
          <w:color w:val="595959" w:themeColor="text1" w:themeTint="A6"/>
          <w:sz w:val="24"/>
          <w:szCs w:val="24"/>
          <w:u w:val="single"/>
          <w:lang w:val="en-US" w:eastAsia="ru-RU"/>
        </w:rPr>
        <w:t>opfr_po_kbr@mail.ru</w:t>
      </w:r>
    </w:p>
    <w:p w:rsidR="001A3F1F" w:rsidRPr="002F5B48" w:rsidRDefault="001A3F1F">
      <w:pPr>
        <w:rPr>
          <w:color w:val="595959" w:themeColor="text1" w:themeTint="A6"/>
          <w:lang w:val="en-US"/>
        </w:rPr>
      </w:pPr>
    </w:p>
    <w:sectPr w:rsidR="001A3F1F" w:rsidRPr="002F5B48" w:rsidSect="00B86A7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27C44"/>
    <w:multiLevelType w:val="multilevel"/>
    <w:tmpl w:val="210A0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293BE8"/>
    <w:multiLevelType w:val="multilevel"/>
    <w:tmpl w:val="D8DCF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8313F"/>
    <w:multiLevelType w:val="multilevel"/>
    <w:tmpl w:val="D380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E21875"/>
    <w:multiLevelType w:val="multilevel"/>
    <w:tmpl w:val="EF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73"/>
    <w:rsid w:val="00120DEE"/>
    <w:rsid w:val="001A3F1F"/>
    <w:rsid w:val="002F5B48"/>
    <w:rsid w:val="00924688"/>
    <w:rsid w:val="00B86A73"/>
    <w:rsid w:val="00BA67DE"/>
    <w:rsid w:val="00D159AF"/>
    <w:rsid w:val="00DB11D3"/>
    <w:rsid w:val="00F9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A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6A73"/>
    <w:rPr>
      <w:rFonts w:ascii="Tahoma" w:hAnsi="Tahoma" w:cs="Tahoma"/>
      <w:sz w:val="16"/>
      <w:szCs w:val="16"/>
    </w:rPr>
  </w:style>
  <w:style w:type="character" w:styleId="a5">
    <w:name w:val="Hyperlink"/>
    <w:basedOn w:val="a0"/>
    <w:uiPriority w:val="99"/>
    <w:unhideWhenUsed/>
    <w:rsid w:val="002F5B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A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6A73"/>
    <w:rPr>
      <w:rFonts w:ascii="Tahoma" w:hAnsi="Tahoma" w:cs="Tahoma"/>
      <w:sz w:val="16"/>
      <w:szCs w:val="16"/>
    </w:rPr>
  </w:style>
  <w:style w:type="character" w:styleId="a5">
    <w:name w:val="Hyperlink"/>
    <w:basedOn w:val="a0"/>
    <w:uiPriority w:val="99"/>
    <w:unhideWhenUsed/>
    <w:rsid w:val="002F5B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39065">
      <w:bodyDiv w:val="1"/>
      <w:marLeft w:val="0"/>
      <w:marRight w:val="0"/>
      <w:marTop w:val="0"/>
      <w:marBottom w:val="0"/>
      <w:divBdr>
        <w:top w:val="none" w:sz="0" w:space="0" w:color="auto"/>
        <w:left w:val="none" w:sz="0" w:space="0" w:color="auto"/>
        <w:bottom w:val="none" w:sz="0" w:space="0" w:color="auto"/>
        <w:right w:val="none" w:sz="0" w:space="0" w:color="auto"/>
      </w:divBdr>
      <w:divsChild>
        <w:div w:id="423310377">
          <w:marLeft w:val="0"/>
          <w:marRight w:val="0"/>
          <w:marTop w:val="0"/>
          <w:marBottom w:val="0"/>
          <w:divBdr>
            <w:top w:val="none" w:sz="0" w:space="0" w:color="auto"/>
            <w:left w:val="none" w:sz="0" w:space="0" w:color="auto"/>
            <w:bottom w:val="none" w:sz="0" w:space="0" w:color="auto"/>
            <w:right w:val="none" w:sz="0" w:space="0" w:color="auto"/>
          </w:divBdr>
          <w:divsChild>
            <w:div w:id="1595628404">
              <w:marLeft w:val="0"/>
              <w:marRight w:val="0"/>
              <w:marTop w:val="0"/>
              <w:marBottom w:val="0"/>
              <w:divBdr>
                <w:top w:val="none" w:sz="0" w:space="0" w:color="auto"/>
                <w:left w:val="none" w:sz="0" w:space="0" w:color="auto"/>
                <w:bottom w:val="none" w:sz="0" w:space="0" w:color="auto"/>
                <w:right w:val="none" w:sz="0" w:space="0" w:color="auto"/>
              </w:divBdr>
            </w:div>
          </w:divsChild>
        </w:div>
        <w:div w:id="363794141">
          <w:marLeft w:val="0"/>
          <w:marRight w:val="0"/>
          <w:marTop w:val="0"/>
          <w:marBottom w:val="0"/>
          <w:divBdr>
            <w:top w:val="none" w:sz="0" w:space="0" w:color="auto"/>
            <w:left w:val="none" w:sz="0" w:space="0" w:color="auto"/>
            <w:bottom w:val="none" w:sz="0" w:space="0" w:color="auto"/>
            <w:right w:val="none" w:sz="0" w:space="0" w:color="auto"/>
          </w:divBdr>
          <w:divsChild>
            <w:div w:id="1572038113">
              <w:marLeft w:val="0"/>
              <w:marRight w:val="0"/>
              <w:marTop w:val="0"/>
              <w:marBottom w:val="0"/>
              <w:divBdr>
                <w:top w:val="none" w:sz="0" w:space="0" w:color="auto"/>
                <w:left w:val="none" w:sz="0" w:space="0" w:color="auto"/>
                <w:bottom w:val="none" w:sz="0" w:space="0" w:color="auto"/>
                <w:right w:val="none" w:sz="0" w:space="0" w:color="auto"/>
              </w:divBdr>
              <w:divsChild>
                <w:div w:id="1624799623">
                  <w:marLeft w:val="0"/>
                  <w:marRight w:val="0"/>
                  <w:marTop w:val="0"/>
                  <w:marBottom w:val="0"/>
                  <w:divBdr>
                    <w:top w:val="none" w:sz="0" w:space="0" w:color="auto"/>
                    <w:left w:val="none" w:sz="0" w:space="0" w:color="auto"/>
                    <w:bottom w:val="none" w:sz="0" w:space="0" w:color="auto"/>
                    <w:right w:val="none" w:sz="0" w:space="0" w:color="auto"/>
                  </w:divBdr>
                  <w:divsChild>
                    <w:div w:id="429592707">
                      <w:marLeft w:val="75"/>
                      <w:marRight w:val="75"/>
                      <w:marTop w:val="75"/>
                      <w:marBottom w:val="75"/>
                      <w:divBdr>
                        <w:top w:val="none" w:sz="0" w:space="0" w:color="auto"/>
                        <w:left w:val="none" w:sz="0" w:space="0" w:color="auto"/>
                        <w:bottom w:val="none" w:sz="0" w:space="0" w:color="auto"/>
                        <w:right w:val="none" w:sz="0" w:space="0" w:color="auto"/>
                      </w:divBdr>
                    </w:div>
                    <w:div w:id="581371447">
                      <w:marLeft w:val="480"/>
                      <w:marRight w:val="0"/>
                      <w:marTop w:val="120"/>
                      <w:marBottom w:val="360"/>
                      <w:divBdr>
                        <w:top w:val="none" w:sz="0" w:space="0" w:color="auto"/>
                        <w:left w:val="none" w:sz="0" w:space="0" w:color="auto"/>
                        <w:bottom w:val="none" w:sz="0" w:space="0" w:color="auto"/>
                        <w:right w:val="none" w:sz="0" w:space="0" w:color="auto"/>
                      </w:divBdr>
                    </w:div>
                    <w:div w:id="1155955531">
                      <w:marLeft w:val="480"/>
                      <w:marRight w:val="0"/>
                      <w:marTop w:val="120"/>
                      <w:marBottom w:val="360"/>
                      <w:divBdr>
                        <w:top w:val="none" w:sz="0" w:space="0" w:color="auto"/>
                        <w:left w:val="none" w:sz="0" w:space="0" w:color="auto"/>
                        <w:bottom w:val="none" w:sz="0" w:space="0" w:color="auto"/>
                        <w:right w:val="none" w:sz="0" w:space="0" w:color="auto"/>
                      </w:divBdr>
                    </w:div>
                    <w:div w:id="551885334">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f.ru/knopki/zhizn/~448" TargetMode="External"/><Relationship Id="rId3" Type="http://schemas.microsoft.com/office/2007/relationships/stylesWithEffects" Target="stylesWithEffects.xml"/><Relationship Id="rId7" Type="http://schemas.openxmlformats.org/officeDocument/2006/relationships/hyperlink" Target="http://www.pfrf.ru/knopki/zhizn/~4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knopki/zhizn/~44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frf.ru/branches/kbr/news/"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1055</Words>
  <Characters>6020</Characters>
  <Application>Microsoft Office Word</Application>
  <DocSecurity>0</DocSecurity>
  <Lines>50</Lines>
  <Paragraphs>14</Paragraphs>
  <ScaleCrop>false</ScaleCrop>
  <Company>Kraftway</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7</cp:revision>
  <dcterms:created xsi:type="dcterms:W3CDTF">2017-04-28T06:00:00Z</dcterms:created>
  <dcterms:modified xsi:type="dcterms:W3CDTF">2017-08-28T06:06:00Z</dcterms:modified>
</cp:coreProperties>
</file>